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муниципального образования Ленинградский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0"/>
        <w:jc w:val="center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муниципальный округ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01.09.2025  №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1186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40"/>
          <w:szCs w:val="40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40"/>
          <w:szCs w:val="40"/>
          <w:highlight w:val="white"/>
        </w:rPr>
      </w:r>
      <w:r>
        <w:rPr>
          <w:rFonts w:ascii="Times New Roman" w:hAnsi="Times New Roman" w:cs="Times New Roman"/>
          <w:sz w:val="40"/>
          <w:szCs w:val="40"/>
          <w:highlight w:val="white"/>
        </w:rPr>
      </w:r>
    </w:p>
    <w:p>
      <w:pPr>
        <w:ind w:left="720" w:firstLine="0"/>
        <w:jc w:val="center"/>
        <w:tabs>
          <w:tab w:val="left" w:pos="5670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Порядок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br/>
        <w:t xml:space="preserve">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администрацией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ind w:left="720" w:firstLine="0"/>
        <w:jc w:val="center"/>
        <w:tabs>
          <w:tab w:val="left" w:pos="5670" w:leader="none"/>
        </w:tabs>
        <w:rPr>
          <w:rFonts w:ascii="Times New Roman" w:hAnsi="Times New Roman" w:cs="Times New Roman"/>
          <w:sz w:val="40"/>
          <w:szCs w:val="40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40"/>
          <w:szCs w:val="40"/>
          <w:highlight w:val="white"/>
        </w:rPr>
      </w:r>
      <w:r>
        <w:rPr>
          <w:rFonts w:ascii="Times New Roman" w:hAnsi="Times New Roman" w:cs="Times New Roman"/>
          <w:sz w:val="40"/>
          <w:szCs w:val="40"/>
          <w:highlight w:val="white"/>
        </w:rPr>
      </w:r>
    </w:p>
    <w:p>
      <w:pPr>
        <w:ind w:left="720" w:firstLine="0"/>
        <w:jc w:val="center"/>
        <w:tabs>
          <w:tab w:val="left" w:pos="567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bCs/>
          <w:highlight w:val="white"/>
        </w:rPr>
      </w:r>
      <w:bookmarkStart w:id="0" w:name="sub_3016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. Общие положения</w:t>
      </w:r>
      <w:bookmarkEnd w:id="0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left="720" w:firstLine="0"/>
        <w:tabs>
          <w:tab w:val="left" w:pos="5670" w:leader="none"/>
        </w:tabs>
        <w:rPr>
          <w:rFonts w:ascii="Times New Roman" w:hAnsi="Times New Roman" w:cs="Times New Roman"/>
          <w:b/>
          <w:bCs/>
          <w:color w:val="000000" w:themeColor="text1"/>
          <w:sz w:val="40"/>
          <w:szCs w:val="40"/>
          <w:highlight w:val="whit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40"/>
          <w:szCs w:val="40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40"/>
          <w:szCs w:val="40"/>
          <w:highlight w:val="white"/>
        </w:rPr>
      </w:r>
    </w:p>
    <w:p>
      <w:pPr>
        <w:ind w:firstLine="709"/>
        <w:tabs>
          <w:tab w:val="left" w:pos="709" w:leader="none"/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1" w:name="sub_100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Настоящий Порядок устанавливает порядок разработки и утверждения административных регламентов предоставления муниципальных услуг администрацией муниципального образования Ленинградский муниципальный округ Краснодарского края 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– Администрация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709" w:leader="none"/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2" w:name="sub_1002"/>
      <w:r>
        <w:rPr>
          <w:highlight w:val="white"/>
        </w:rPr>
      </w:r>
      <w:bookmarkEnd w:id="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Административные регламенты разрабатываются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отраслевыми (функциональными) и территориальными органами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 утверждаются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правовыми актами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(далее соответственно - орган, предоставляющий муниципальные услуги, административный регламент)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709" w:leader="none"/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3" w:name="sub_1003"/>
      <w:r>
        <w:rPr>
          <w:highlight w:val="white"/>
        </w:rPr>
      </w:r>
      <w:bookmarkEnd w:id="2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Административные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и иными правовыми актами Краснодарского края, а также в соответствии с единым 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тандартом предоставления муниципальной услуги (при его наличии) после внесения сведений о муниципальной услуге в федеральную государст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венную информационную систему «Федеральный реестр государственных и муниципальных услуг (функций)» и государственную регистрационную информационную систему «Реестр государственных и муниципальных услуг (функций) Краснодарского края» (далее - реестр услуг)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(при наличии технической возможности)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4" w:name="sub_1004"/>
      <w:r>
        <w:rPr>
          <w:highlight w:val="white"/>
        </w:rPr>
      </w:r>
      <w:bookmarkEnd w:id="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Разработка, согласовани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е, проведение экспертизы и утверждение административных регламентов осуществляется органом, предоставляющим муниципальные услуги, с использованием программно-технических средств реестра услуг (при наличии технической возможности) либо на бумажном носителе.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5" w:name="sub_1005"/>
      <w:r>
        <w:rPr>
          <w:highlight w:val="white"/>
        </w:rPr>
      </w:r>
      <w:bookmarkEnd w:id="4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Разработка административных регламентов включает следующие этапы:</w:t>
      </w:r>
      <w:bookmarkEnd w:id="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внесение в реестр услуг органом, предоставляющим муниципальные услуги, сведений о муниципальной услуге (далее - административные процедуры);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 автоматическое формирование из сведений, указанных в </w:t>
      </w:r>
      <w:hyperlink w:tooltip="#sub_3021" w:anchor="sub_3021" w:history="1">
        <w:r>
          <w:rPr>
            <w:rStyle w:val="909"/>
            <w:rFonts w:ascii="Times New Roman" w:hAnsi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настоящего пункта, проекта административного регламента в соответствии с требованиями к структуре и содержанию административных регламентов,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установленными </w:t>
      </w:r>
      <w:hyperlink w:tooltip="#sub_3017" w:anchor="sub_3017" w:history="1">
        <w:r>
          <w:rPr>
            <w:rStyle w:val="909"/>
            <w:rFonts w:ascii="Times New Roman" w:hAnsi="Times New Roman"/>
            <w:color w:val="000000" w:themeColor="text1"/>
            <w:sz w:val="28"/>
            <w:szCs w:val="28"/>
            <w:highlight w:val="white"/>
            <w:u w:val="none"/>
          </w:rPr>
          <w:t xml:space="preserve">разделом II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настоящего Порядка;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rPr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анализ, доработка (при необходимости) органом, предоставляющим муниципальные услуги, проекта административного регламента, сформированно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го в соответствии с подпунктом 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настоящего пункта, и его загрузка в реестр услуг</w:t>
      </w:r>
      <w:r>
        <w:rPr>
          <w:color w:val="000000" w:themeColor="text1"/>
          <w:highlight w:val="non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4)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роведение в отношении проекта административного регламента, сформированного в соответствии с </w:t>
      </w:r>
      <w:hyperlink r:id="rId11" w:tooltip="https://internet.garant.ru/#/document/37070930/entry/10154" w:anchor="/document/37070930/entry/10154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подпунктом 3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настоящего пункта, процедур, предусмотренных </w:t>
      </w:r>
      <w:hyperlink r:id="rId12" w:tooltip="https://internet.garant.ru/#/document/37070930/entry/1003" w:anchor="/document/37070930/entry/100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разделами III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 IV настоящего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6" w:name="sub_1007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При разработке административных регламентов орган, предоставляющий муниципальные услуги, предусматривает оптимизацию (повышение качества) предоставления муниципальных 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слуг, в том числе возможность предоставления муниципальной услуги в упреждающем (проактивном) режиме, многоканальность и экстерриториальность получения муниципальных услуг, описания всех вариантов предоставления муниципальной услуги, устранение избыточных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логически обособленных последовательностей административных действий при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ной услуги (далее - административные процедуры) и сро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ков их осуществления, а также документов и (или) информации, требуемых для получения муниципальной услуги, внедрение реестровой модели предоставления муниципальных услуг, а также внедрение иных принципов предоставления муниципальных услуг, предусмотренных </w:t>
      </w:r>
      <w:hyperlink r:id="rId13" w:tooltip="garantF1://12077515.0" w:history="1">
        <w:r>
          <w:rPr>
            <w:rStyle w:val="909"/>
            <w:rFonts w:ascii="Times New Roman" w:hAnsi="Times New Roman" w:eastAsia="Times New Roman"/>
            <w:color w:val="000000" w:themeColor="text1"/>
            <w:sz w:val="28"/>
            <w:szCs w:val="28"/>
            <w:highlight w:val="white"/>
            <w:u w:val="none"/>
          </w:rPr>
          <w:t xml:space="preserve">Федеральным законом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от 27 июля 2010 г. № 210-ФЗ «Об организации предоставления государственных и муниципальных услуг»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(далее-Федеральный закон 210-ФЗ)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7" w:name="sub_1008"/>
      <w:r>
        <w:rPr>
          <w:highlight w:val="white"/>
        </w:rPr>
      </w:r>
      <w:bookmarkEnd w:id="6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Наименование административных регламентов определяется органом, предоставляющим  муниципальные услуги, с учетом формулировки нормативного правового акта, которым предусмотрена соответствующая муниципальная услуга.</w:t>
      </w:r>
      <w:bookmarkEnd w:id="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44"/>
          <w:szCs w:val="4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whit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white"/>
        </w:rPr>
      </w:r>
    </w:p>
    <w:p>
      <w:pPr>
        <w:ind w:firstLine="709"/>
        <w:jc w:val="center"/>
        <w:tabs>
          <w:tab w:val="left" w:pos="567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bCs/>
          <w:highlight w:val="white"/>
        </w:rPr>
      </w:r>
      <w:bookmarkStart w:id="8" w:name="sub_3017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. Требования к структуре и содержанию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center"/>
        <w:tabs>
          <w:tab w:val="left" w:pos="567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административных регламентов</w:t>
      </w:r>
      <w:bookmarkEnd w:id="8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44"/>
          <w:szCs w:val="4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whit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9" w:name="sub_100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административный регламент включаются следующие разделы: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0" w:name="sub_3023"/>
      <w:r>
        <w:rPr>
          <w:highlight w:val="white"/>
        </w:rPr>
      </w:r>
      <w:bookmarkEnd w:id="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2.1.1.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Общие положения.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1" w:name="sub_3024"/>
      <w:r>
        <w:rPr>
          <w:highlight w:val="white"/>
        </w:rPr>
      </w:r>
      <w:bookmarkEnd w:id="1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2.1.2.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Стандарт предоставления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2" w:name="sub_3025"/>
      <w:r>
        <w:rPr>
          <w:highlight w:val="white"/>
        </w:rPr>
      </w:r>
      <w:bookmarkEnd w:id="1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2.1.3.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Состав, последовательность и сроки выполнения административных процедур (подразделы, содержащие описание каждой административной процедуры, включаются в указанный раздел в случаях, если при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 предусмотрено осуществление административной процедуры, в рамках которой проводится оценка сведений о заявителе и (или) объектах, принадлежащих заявителю, и (или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 иных объектах, а также знаний (навыков) 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услуги, либо административной процедуры, предполагающей осуществляемое после принятия решения о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 распределение в отношении заявителя ограниченного ресурса (в том числе земельных участков, радиочастот, квот), либо административной процедуры получения дополнительных сведений от заявителя, либо административной процедуры приостановления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услуги, повторение которой в рамках предоставления одной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й услуги допускается 2 и более раза).</w:t>
      </w:r>
      <w:bookmarkEnd w:id="1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2.1.4.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пособы информирования заявителя об изменении статуса рассмотрения запроса о предоставлении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3" w:name="sub_101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раздел «Общие положения»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4" w:name="sub_3028"/>
      <w:r>
        <w:rPr>
          <w:highlight w:val="white"/>
        </w:rPr>
      </w:r>
      <w:bookmarkEnd w:id="1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предмет регулирования административного регламента;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5" w:name="sub_3029"/>
      <w:r>
        <w:rPr>
          <w:highlight w:val="white"/>
        </w:rPr>
      </w:r>
      <w:bookmarkEnd w:id="1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круг заявителей;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6" w:name="sub_3030"/>
      <w:r>
        <w:rPr>
          <w:highlight w:val="white"/>
        </w:rPr>
      </w:r>
      <w:bookmarkEnd w:id="1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требование предоставления заявителю муниципальной услуги</w:t>
      </w:r>
      <w:r>
        <w:rPr>
          <w:rFonts w:ascii="PT Serif" w:hAnsi="PT Serif" w:eastAsia="PT Serif" w:cs="PT Serif"/>
          <w:color w:val="000000" w:themeColor="text1"/>
          <w:sz w:val="23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hyperlink r:id="rId14" w:tooltip="https://www.gosuslugi.ru/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Единый портал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государственных и муниципальных услуг (функций)» (далее соответственно - категории (признаки) заявителей, Единый портал государственных и муниципальных услуг).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7" w:name="sub_1011"/>
      <w:r>
        <w:rPr>
          <w:highlight w:val="white"/>
        </w:rPr>
      </w:r>
      <w:bookmarkEnd w:id="16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Раздел «Стандарт предоставления муниципальной услуги» состоит из следующих подразделов: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8" w:name="sub_3031"/>
      <w:r>
        <w:rPr>
          <w:highlight w:val="white"/>
        </w:rPr>
      </w:r>
      <w:bookmarkEnd w:id="1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Наименование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9" w:name="sub_3032"/>
      <w:r>
        <w:rPr>
          <w:highlight w:val="white"/>
        </w:rPr>
      </w:r>
      <w:bookmarkEnd w:id="1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2.3.2. 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аименование органа, предоставляющего муниципальную услугу.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0" w:name="sub_3033"/>
      <w:r>
        <w:rPr>
          <w:highlight w:val="white"/>
        </w:rPr>
      </w:r>
      <w:bookmarkEnd w:id="1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2.3.3 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езультат предоставления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1" w:name="sub_3034"/>
      <w:r>
        <w:rPr>
          <w:highlight w:val="white"/>
        </w:rPr>
      </w:r>
      <w:bookmarkEnd w:id="2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2.3.4.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Срок предоставления муниципальной услуги.</w:t>
      </w:r>
      <w:bookmarkEnd w:id="2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2.3.5.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Размер платы, взимаемой с заявителя при предоставлении муниципальной услуги, и способы ее взимания.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2" w:name="sub_304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2.3.6.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Максимальный срок ожидания в очереди при подаче заявителем запроса о предоставлении муниципальной услуги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(подраздел включается в административный регламент в случае обращения заявителя непосредственно в орган, предоставляющий муниципальную услугу, или многофункциональный центр)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3" w:name="sub_3041"/>
      <w:r>
        <w:rPr>
          <w:highlight w:val="white"/>
        </w:rPr>
      </w:r>
      <w:bookmarkEnd w:id="2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2.3.7.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Срок регистрации запроса заявителя о предоставлении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</w:r>
      <w:bookmarkStart w:id="24" w:name="sub_3042"/>
      <w:r>
        <w:rPr>
          <w:highlight w:val="white"/>
        </w:rPr>
      </w:r>
      <w:bookmarkEnd w:id="2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2.3.8. 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ребования к помещениям, в которых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предоставляется муниципальная услуга (подраздел включается в административный регламент в случае обращения заявителя непосредственно в орган, предоставляющий муниципальную услугу, или многофункциональный центр)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5" w:name="sub_3043"/>
      <w:r>
        <w:rPr>
          <w:highlight w:val="white"/>
        </w:rPr>
      </w:r>
      <w:bookmarkEnd w:id="2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2.3.9.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Показатели доступности и качества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6" w:name="sub_3044"/>
      <w:r>
        <w:rPr>
          <w:highlight w:val="white"/>
        </w:rPr>
      </w:r>
      <w:bookmarkEnd w:id="2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2.3.10.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2.3.11.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Исчерпывающий перечень документов, необходимых для предоставления муниципальной услуги.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2.3.12.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Исчерпывающий перечень оснований для отказа в приеме запроса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  <w:bookmarkEnd w:id="26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Подраздел «Наименование органа, предоставляющего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муниципальную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услугу» должен включать полное наименование органа, предоставляющего муниципальную услугу.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48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7" w:name="sub_101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Подраздел «Результат предоставления муниципальной услуги» должен включать следующие положения:</w:t>
      </w:r>
      <w:bookmarkEnd w:id="2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48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наименование результата (результатов) предоставления муниципальной услуги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указанием формы его предоставления, если результатом предоставления муниципальной  услуги является документ;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48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наименование информационной системы (при наличии), в которой фиксируется реестровая запись (в случае если результатом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 является реестровая запись) или указание на отсутствие необходимости формирования реестровой записи;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48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перечень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способов получения результата предоставления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8" w:name="sub_101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bookmarkStart w:id="29" w:name="sub_1015"/>
      <w:r>
        <w:rPr>
          <w:highlight w:val="white"/>
        </w:rPr>
      </w:r>
      <w:bookmarkEnd w:id="2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Подраздел «Ср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ок предоставления муниципальной услуги» должен включать сведения о максимальном сроке предоставления муниципальной услуги, который исчисляется со дня регистрации запроса и документов и (или) информации, необходимых для предоставления муниципальной услуги, </w:t>
      </w:r>
      <w:bookmarkEnd w:id="29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учетом категории (признаков) заявителя и способа подачи указанного запроса.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 Подраздел «Исчерпывающий перечень оснований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услуги» должен включать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2.7.1.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2.7.2.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еречень оснований для приостановления предоставления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2.7.3.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еречень оснований для отказа в предо</w:t>
      </w:r>
      <w:bookmarkStart w:id="30" w:name="_GoBack"/>
      <w:r>
        <w:rPr>
          <w:highlight w:val="white"/>
        </w:rPr>
      </w:r>
      <w:bookmarkEnd w:id="3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ставлении муниципальной услуги, а в случае отсутствия таких оснований - указание на их отсутствие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Сведения о приведении в приложении к административному регламенту, указанному в </w:t>
      </w:r>
      <w:hyperlink r:id="rId15" w:tooltip="https://internet.garant.ru/#/document/483406659/entry/10341" w:anchor="/document/483406659/entry/10341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пункте 2.25. 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  <w:vertAlign w:val="superscript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настоящего Порядка, оснований, предусмотренных </w:t>
      </w:r>
      <w:hyperlink r:id="rId16" w:tooltip="https://internet.garant.ru/#/document/483406659/entry/10181" w:anchor="/document/483406659/entry/10181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подпунктами 2.7.1. - 2.7.3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.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настоящего пункта, с учетом категории (признаков) заявителя (при наличии таких оснований).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1" w:name="sub_102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подраздел «Размер платы, взимаемой с заявителя при предоставлении муниципальной услуги, и способы ее взимания» включаются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2" w:name="sub_3047"/>
      <w:r>
        <w:rPr>
          <w:highlight w:val="white"/>
        </w:rPr>
      </w:r>
      <w:bookmarkEnd w:id="3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сведения о размещении на Едином портале государственных и муниципальных услуг информации о размере государственной пошлины или иной платы, взимаемой за предоставление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3" w:name="sub_3048"/>
      <w:r>
        <w:rPr>
          <w:highlight w:val="white"/>
        </w:rPr>
      </w:r>
      <w:bookmarkEnd w:id="3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Краснодарского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муниципальными правовыми актами.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2.8.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Подраздел «Срок регистрации запроса заявителя о предоставлении муниципальной услуги» должен включать срок регистрации запроса о предоставлении муниципальной услуги с учетом способа подачи указанного запроса.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4" w:name="sub_1021"/>
      <w:r>
        <w:rPr>
          <w:highlight w:val="white"/>
        </w:rPr>
      </w:r>
      <w:bookmarkEnd w:id="3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2.9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Подраздел «Требования к помещениям, в которых предоставляется муниципальная услуга»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должен включать сведения о размещении на официальном сайте органа, предоставляющего муниципальную услугу, а также на </w:t>
      </w:r>
      <w:hyperlink r:id="rId17" w:tooltip="https://www.gosuslugi.ru/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Едином портале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 государственных и муниципальных услуг требований, которым должны соответствовать такие помещения.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5" w:name="sub_1022"/>
      <w:r>
        <w:rPr>
          <w:highlight w:val="white"/>
        </w:rPr>
      </w:r>
      <w:bookmarkEnd w:id="3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Подраздел «Показатели доступности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качества муниципальной услуги»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должен включать сведения о размещении на официальном сайте органа, предоставляющего муниципальную услугу, а также на </w:t>
      </w:r>
      <w:hyperlink r:id="rId18" w:tooltip="https://www.gosuslugi.ru/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Едином портале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государственных и муниципальных услуг перечня показателей качества и доступности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6" w:name="sub_1023"/>
      <w:r>
        <w:rPr>
          <w:highlight w:val="white"/>
        </w:rPr>
      </w:r>
      <w:bookmarkEnd w:id="3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подраздел «Иные требования к предоставлению муниципальной услуги»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7" w:name="sub_3049"/>
      <w:r>
        <w:rPr>
          <w:highlight w:val="white"/>
        </w:rPr>
      </w:r>
      <w:bookmarkEnd w:id="36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перечень услуг, которые являются необходимыми и обязательными для предоставления муниципальной услуги, или указание на их отсутствие;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8" w:name="sub_3050"/>
      <w:r>
        <w:rPr>
          <w:highlight w:val="white"/>
        </w:rPr>
      </w:r>
      <w:bookmarkEnd w:id="3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наличие или отсутствие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платы за предоставление указанных в </w:t>
      </w:r>
      <w:hyperlink w:tooltip="#sub_3049" w:anchor="sub_3049" w:history="1">
        <w:r>
          <w:rPr>
            <w:rStyle w:val="909"/>
            <w:rFonts w:ascii="Times New Roman" w:hAnsi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1 настоящего пункта услу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 (при наличии таких услуг);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9" w:name="sub_3051"/>
      <w:r>
        <w:rPr>
          <w:highlight w:val="white"/>
        </w:rPr>
      </w:r>
      <w:bookmarkEnd w:id="3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перечень информационных систем, используемых для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невозможность предоставления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х в форме документа на бумажном носителе в случае,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лично;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5)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6) возможность (невозможность) предоставления муниципальной услуги в многофункциональном центре, в том числе возможность (невозможность) приняти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я многофункциональным центром решения об отказе в приеме запроса и документов и (или) информации, необходимых для предоставления муниципальной услуги (в случае если запрос о предоставлении муниципальной услуги может быть подан в многофункциональный центр);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7) возможность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(невозможность) выдачи заявителю результата предоставления муниципальной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результатам предоставления муниципальных услуг органами, предоставляющими муниципальные услуги, а также выдачи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Подраздел «Исчерпывающий перечень документов, необходимых для предоставления муниципальной услуги» должен включать следующие положения: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муниципальной услуги, в приложении к административному регламенту, с учетом </w:t>
      </w:r>
      <w:hyperlink r:id="rId19" w:tooltip="https://internet.garant.ru/#/document/483406659/entry/10343" w:anchor="/document/483406659/entry/1034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пункта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2.27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настоящего Порядка, с разделением на документы и информацию, которые заяви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либо указание на отсутствие таких документов.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ведения о приведении форм запроса о предоставлении муниципальной услуги и документов, необходимых для предоставления муниципальной услуги в соответствии с </w:t>
      </w:r>
      <w:hyperlink r:id="rId20" w:tooltip="https://internet.garant.ru/#/document/483406659/entry/10233" w:anchor="/document/483406659/entry/1023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пунктом 2.12.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4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.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  <w:vertAlign w:val="superscript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настоящих Правил, в качестве приложения к административному регламенту.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Перечень способов подачи запроса о предоставлении муниципальной услуги и документов, необходимых для предоставления муниципальной услуги, приводится в приложении к административному регламенту в соответствии с требованиями, установленными </w:t>
      </w:r>
      <w:hyperlink r:id="rId21" w:tooltip="https://internet.garant.ru/#/document/483406659/entry/10343" w:anchor="/document/483406659/entry/1034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пункто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м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2.27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vertAlign w:val="superscript"/>
          </w:rPr>
          <w:t xml:space="preserve">.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настоящего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Форм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 запроса о предоставлении муниципальной услуги и документов, необходимых для предоставления муниципальной услуги, приводятся в качестве приложения к административному регламенту, за исключением случаев, когда формы указанных документов установлены актами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Президента Российской Федерации, Правительства Российской Федерации или иными нормативными правовыми актами.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случае если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актами, указание на такие акты должно содержаться в приложении к административному регламенту.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0" w:name="sub_1024"/>
      <w:r>
        <w:rPr>
          <w:highlight w:val="white"/>
        </w:rPr>
      </w:r>
      <w:bookmarkEnd w:id="3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Раздел «Состав, последовательность и сроки выполнения административных процедур» определяет требования к порядку выполнения админ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многофункциональных центрах и должен содержать следующие подразделы: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1" w:name="sub_3052"/>
      <w:r>
        <w:rPr>
          <w:highlight w:val="white"/>
        </w:rPr>
      </w:r>
      <w:bookmarkEnd w:id="4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Перечень осуществляемых при предоставлении муниципальной услуги административных процедур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Описание каждой административной процедуры, осуществляемой при предоставлении муниципальной услуги, в случаях, указанных в </w:t>
      </w:r>
      <w:hyperlink r:id="rId22" w:tooltip="https://internet.garant.ru/#/document/37070930/entry/10213" w:anchor="/document/37070930/entry/1021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подпункте 2.1.3 пункта 2.1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 настоящего Порядка.</w:t>
      </w:r>
      <w:bookmarkEnd w:id="4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Подраздел, описывающий предоставление муниципальной услуги в упреждающем (проактивном) режиме (в случае если муниципальная услуга предполагает предоставление в упреждающем (проактивном) режиме), в который включаются следующие положения: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указание на возможность предварительной подачи заяв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ителем запроса о предоставлении ему муниципальной услуги в упреждающем (проактивном) режиме или подачи заявителем запроса о предоставлении муниципальной услуги после осуществления органом, предоставляющим муниципальную услугу, мероприятий в соответствии с </w:t>
      </w:r>
      <w:hyperlink r:id="rId23" w:tooltip="https://internet.garant.ru/#/document/12177515/entry/7311" w:anchor="/document/12177515/entry/7311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пунктом 1 части 1 статьи 7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.3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Федерального закона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210-ФЗ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сведения о юридическом факте, поступление которых в орган, предоставляющий муниципальную услугу, является основанием для предоставления заявителю муниципальной услуги в упреждающем (проактивном) режиме;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состав, последовательность и сроки выполнения административных процедур, осуществляемых органом, предоставляющим муниципальную услугу, после поступления сведений, указанных в </w:t>
      </w:r>
      <w:hyperlink r:id="rId24" w:tooltip="https://internet.garant.ru/#/document/483406659/entry/102443" w:anchor="/document/483406659/entry/10244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абзаце третьем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настоящего пункта.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.15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дуры профилирования заявителя, заключающейся в анкетировании заявителя в целях определения категории (признаков) заявителя, проводимого органом, предоставляющим муниципальную услугу, включаются способы и порядок определения категории (признаков) заявителя.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приложении к административному регламенту приводятся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идентификаторы категорий (признаков) заявителей в соответствии с </w:t>
      </w:r>
      <w:hyperlink r:id="rId25" w:tooltip="https://internet.garant.ru/#/document/483406659/entry/10342" w:anchor="/document/483406659/entry/10342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пунктом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2.26.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2" w:name="sub_102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приема запроса 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документов и (или) информации, необходимых для предоставления муниципальной услуги,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3" w:name="sub_3055"/>
      <w:r>
        <w:rPr>
          <w:highlight w:val="white"/>
        </w:rPr>
      </w:r>
      <w:bookmarkEnd w:id="4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сведения о приведении в приложении к админис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тративному регламенту состава запроса и перечня документов и (или) информации, необходимых для предоставления муниципальной услуги в соответствии с категорией (признаками) заявителя, а также способов подачи указанных запроса, документов и (или) информации;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4" w:name="sub_3056"/>
      <w:r>
        <w:rPr>
          <w:highlight w:val="white"/>
        </w:rPr>
      </w:r>
      <w:bookmarkEnd w:id="4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способы установления личности заявителя (представителя заявителя);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5" w:name="sub_3057"/>
      <w:r>
        <w:rPr>
          <w:highlight w:val="white"/>
        </w:rPr>
      </w:r>
      <w:bookmarkEnd w:id="4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bookmarkStart w:id="46" w:name="sub_3058"/>
      <w:r>
        <w:rPr>
          <w:highlight w:val="white"/>
        </w:rPr>
      </w:r>
      <w:bookmarkEnd w:id="45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сведения о приведении в приложении к административному регламенту оснований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7" w:name="sub_3059"/>
      <w:r>
        <w:rPr>
          <w:highlight w:val="white"/>
        </w:rPr>
      </w:r>
      <w:bookmarkEnd w:id="46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bookmarkStart w:id="48" w:name="sub_3060"/>
      <w:r>
        <w:rPr>
          <w:highlight w:val="white"/>
        </w:rPr>
      </w:r>
      <w:bookmarkEnd w:id="4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возможность (невозможность) приема органом, предоставляющим муниципальную услугу, или многофункциональным центром запроса и документов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 (или) информации, необходимых для предоставления муниципальной 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9" w:name="sub_3061"/>
      <w:r>
        <w:rPr>
          <w:highlight w:val="white"/>
        </w:rPr>
      </w:r>
      <w:bookmarkEnd w:id="4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срок регистрации запроса и документов и (или) информации, необходимых для предоставления муниципальной услуги, в органе, предоставляющем муниципальную услугу, или в многофункциональном центре.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highlight w:val="none"/>
        </w:rPr>
      </w:pPr>
      <w:r>
        <w:rPr>
          <w:highlight w:val="white"/>
        </w:rPr>
      </w:r>
      <w:bookmarkStart w:id="50" w:name="sub_1028"/>
      <w:r>
        <w:rPr>
          <w:highlight w:val="white"/>
        </w:rPr>
      </w:r>
      <w:bookmarkEnd w:id="4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2.17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межведомственного информационного взаимодействия включаются:</w:t>
      </w:r>
      <w:bookmarkEnd w:id="50"/>
      <w:r>
        <w:rPr>
          <w:highlight w:val="none"/>
        </w:rPr>
      </w:r>
      <w:r>
        <w:rPr>
          <w:highlight w:val="none"/>
        </w:rPr>
      </w:r>
    </w:p>
    <w:p>
      <w:pPr>
        <w:ind w:firstLine="709"/>
        <w:tabs>
          <w:tab w:val="left" w:pos="5670" w:leader="none"/>
        </w:tabs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наименование органа (организации), в который направляется информационный запрос (при наличии), наимен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ование используемого вида сведений (сервиса, витрины данных)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наименование органа (организации), в который направляется информационный запрос, срок направления информационного запроса с момента регистрации запроса заявителя о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услуги, срок получения ответа на информационный запрос - при осуществлении межведомственного информационного взаимодействия без использования федеральной государс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твенной информационной системы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Единая система межведомственн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ого электронного взаимодействия»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1" w:name="sub_102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приостановления предоставления муниципальной услуги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2" w:name="sub_3062"/>
      <w:r>
        <w:rPr>
          <w:highlight w:val="white"/>
        </w:rPr>
      </w:r>
      <w:bookmarkEnd w:id="5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сведения о приведении в приложении к административному регламенту оснований для приостановления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3" w:name="sub_3063"/>
      <w:r>
        <w:rPr>
          <w:highlight w:val="white"/>
        </w:rPr>
      </w:r>
      <w:bookmarkEnd w:id="5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состав и содержание осуществляемых при приостановлении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предоставления муниципальной услуги административных действий;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4" w:name="sub_3064"/>
      <w:r>
        <w:rPr>
          <w:highlight w:val="white"/>
        </w:rPr>
      </w:r>
      <w:bookmarkEnd w:id="5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перечень оснований для возобновления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срок приостановления предоставления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5" w:name="sub_1030"/>
      <w:r>
        <w:rPr>
          <w:highlight w:val="white"/>
        </w:rPr>
      </w:r>
      <w:bookmarkEnd w:id="5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2.19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принятия решения о предоставлении (об отказе в предоставлении) муниципальной  услуги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</w:r>
      <w:bookmarkStart w:id="56" w:name="sub_3065"/>
      <w:r>
        <w:rPr>
          <w:highlight w:val="white"/>
        </w:rPr>
      </w:r>
      <w:bookmarkEnd w:id="5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сведения о приведении в приложении к административному регламенту оснований для отказа в предоставлении муниципальной услуги, а в случае их отсутствия - указание на их отсутствие;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7" w:name="sub_3066"/>
      <w:r>
        <w:rPr>
          <w:highlight w:val="white"/>
        </w:rPr>
      </w:r>
      <w:bookmarkEnd w:id="56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срок принятия решения о предоставлении (об отказе в предоставлении) муниципальной услуги, исчисляемый с даты получения органом, предоставляющим муниципальную услугу, всех сведений, необходимых для принятия решения.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8" w:name="sub_1031"/>
      <w:r>
        <w:rPr>
          <w:highlight w:val="white"/>
        </w:rPr>
      </w:r>
      <w:bookmarkEnd w:id="5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2.20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предоставления результата муниципальной услуги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9" w:name="sub_3067"/>
      <w:r>
        <w:rPr>
          <w:highlight w:val="white"/>
        </w:rPr>
      </w:r>
      <w:bookmarkEnd w:id="5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bookmarkStart w:id="60" w:name="sub_3068"/>
      <w:r>
        <w:rPr>
          <w:highlight w:val="white"/>
        </w:rPr>
      </w:r>
      <w:bookmarkEnd w:id="59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срок предоставления заявителю результата муниципальной услуги, исчисляемый со дня принятия реше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ния о предоставлении муниципальной услуги с учетом способов предоставления результата муниципальной услуги, если срок предоставления заявителю результата муниципальной услуги отличается для различных способов предоставления результата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61" w:name="sub_3069"/>
      <w:r>
        <w:rPr>
          <w:highlight w:val="white"/>
        </w:rPr>
      </w:r>
      <w:bookmarkEnd w:id="6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возможность (невозможность) предоставления органом, предоставляющим муниципальну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 услугу, или многофункциональным центром результата муниципальной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62" w:name="sub_1032"/>
      <w:r>
        <w:rPr>
          <w:highlight w:val="white"/>
        </w:rPr>
      </w:r>
      <w:bookmarkEnd w:id="6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2.21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получения дополнительных сведений от заявителя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63" w:name="sub_3070"/>
      <w:r>
        <w:rPr>
          <w:highlight w:val="white"/>
        </w:rPr>
      </w:r>
      <w:bookmarkEnd w:id="6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основания для получения от заявителя дополнительных документов и (или) информации в процессе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64" w:name="sub_3071"/>
      <w:r>
        <w:rPr>
          <w:highlight w:val="white"/>
        </w:rPr>
      </w:r>
      <w:bookmarkEnd w:id="6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срок, необходимый для получения таких документов и (или) информации;</w:t>
      </w:r>
      <w:bookmarkEnd w:id="6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указание на необходимость (отсутствие необходимости) для приостановления предоставления муниципальной услуги при необходимости получения от заявителя дополнительных сведений;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4) перечень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территориальных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федеральны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 органов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исполнительной власти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исполнительной власти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Краснодарского края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участвующих в административной процедуре, в случае, если они известны (при необходимости).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предмет их соответствия тр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муниципальной услуги) (далее - процедура оценки), включаются следующие положения: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наименование и продолжительность процедуры оценки;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субъекты, проводящие процедуру оценки;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объект (объекты) процедуры оценки;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место проведения процедуры оценки (при наличии);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наименование документа, являющегося результатом процедуры оценки (при наличии).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процедуры, предполагающей осуществляемое после принятия решения о предоставлении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муниципальной услуги распределение в отношении заявителя ограниченного ресурса (в том числе земельных участков, радиочастот, квот) (далее соответственно - процедура распределения ограниченного ресурса, ограниченный ресурс), включаются следующие положения: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способ распределения ограниченного ресурса;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наименование ограниченного ресурса;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продолжительность процедуры распределения ограниченного ресурса.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раздел «Сп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особы информирования заявителя об изменении статуса рассмотрения запроса о предоставлении муниципальной услуги» включается перечень способов информирования заявителя об изменении статуса рассмотрения запроса заявителя о предоставлении муниципальной услуги.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Приложение к административному регламенту включает: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Перечень условных обозначений и сокращений.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Идентификаторы категорий (признаков) заявителей в табличной форме.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Исчерпывающий перечень документов, необходимых для предоставления муниципальной услуги, в табличной форме.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Исчерпывающий перечень оснований для отказа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 в табличной форме.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Формы запроса о предоставлен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ии муниципальной услуги и документов, необходимых для предоставления муниципальной услуги в соответствии с </w:t>
      </w:r>
      <w:hyperlink r:id="rId26" w:tooltip="https://internet.garant.ru/#/document/483406659/entry/10233" w:anchor="/document/483406659/entry/10233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пунктом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2.12.4.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vertAlign w:val="superscript"/>
          </w:rPr>
          <w:t xml:space="preserve">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vertAlign w:val="superscript"/>
          </w:rPr>
          <w:t xml:space="preserve">.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его Порядка, или в случае, если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актами, указание на такие акты.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Идентификаторы категорий (признаков) заявителей, указанные в </w:t>
      </w:r>
      <w:hyperlink r:id="rId27" w:tooltip="https://internet.garant.ru/#/document/483406659/entry/103412" w:anchor="/document/483406659/entry/103412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подпункте 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 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подпункте 2.25.2 пункта 2.25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Порядка, включают следующие взаимосвязанные сведения: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.1. 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еречень результатов предоставления муниципальной услуги.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.2.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Перечень отдельных признаков заявителей.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Исчерпывающий перечень документов, необходимых для предоставления муниципальной услуги, указанный в </w:t>
      </w:r>
      <w:hyperlink r:id="rId28" w:tooltip="https://internet.garant.ru/#/document/483406659/entry/103413" w:anchor="/document/483406659/entry/103413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подпункте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 2.25.3 пункта 2.25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Порядка, включает следующие взаимосвязанные сведения: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.1. 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еречень необходимых для предоставления муниципальной услуги документов и (или) информации с учетом идентификаторов категорий (признаков) заявителей, предусмотренных </w:t>
      </w:r>
      <w:hyperlink r:id="rId29" w:tooltip="https://internet.garant.ru/#/document/483406659/entry/10342" w:anchor="/document/483406659/entry/10342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пунктом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2.26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Порядка, а также способы подачи таких документов и (или) информации.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.2.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Исчерпывающий перечень оснований для 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услуги, указанный в </w:t>
      </w:r>
      <w:hyperlink r:id="rId30" w:tooltip="https://internet.garant.ru/#/document/483406659/entry/103415" w:anchor="/document/483406659/entry/103415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подпункте 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2.25.4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 пункта 2.2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5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Порядка, включает следующие исчерпывающие перечни оснований с учетом идентификаторов категорий (признаков) заявителей, указанных в </w:t>
      </w:r>
      <w:hyperlink r:id="rId31" w:tooltip="https://internet.garant.ru/#/document/483406659/entry/10342" w:anchor="/document/483406659/entry/10342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пункте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2.26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Порядка: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.2. 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еречень оснований для приостановления предоставления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.3.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еречень оснований для отказа в предоставлении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44"/>
          <w:szCs w:val="4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44"/>
          <w:szCs w:val="44"/>
          <w:highlight w:val="white"/>
        </w:rPr>
      </w:r>
      <w:r>
        <w:rPr>
          <w:rFonts w:ascii="Times New Roman" w:hAnsi="Times New Roman" w:cs="Times New Roman"/>
          <w:color w:val="auto"/>
          <w:sz w:val="44"/>
          <w:szCs w:val="44"/>
          <w:highlight w:val="white"/>
        </w:rPr>
      </w:r>
    </w:p>
    <w:p>
      <w:pPr>
        <w:ind w:firstLine="709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:lang w:val="en-US"/>
        </w:rPr>
        <w:t xml:space="preserve">III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. Порядок согласования и утверждения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административных регламентов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3.1. Разработка, согласование и утверждение проектов административных регламентов осуществляется в реестре услуг (при наличии технической возможности) или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 бумажном носителе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в соответствии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струкцией по делопроизводству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утвержден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ной распоряжением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за исключением особенностей, ус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тановленных настоящим Порядком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Проект административного регламента формируется органом, предоставляющим муниципальные услуги, в порядке, предусмотренном                                   пунктом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раздела I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Порядка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в электронном виде в реестре услуг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(при наличии технической возможности)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ж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Органы, участвующие в согласовании, вносятся в составленный после подготовки проекта административного регламента лист согласования проекта административного регламента (далее - лист согласования).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3.4.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Проекты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административных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регламентов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подлежат независимой экспертизе и экспертизе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проводимой  юридическим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отделом Администрации (далее-Уполномоченный орган).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.5. Экспертиза проектов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административных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регламентов проводится в порядке, предусмотренном настоящим Порядком.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3.6. Предметом экспертизы являются: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а) соответствие проектов административных регламентов требованиям пунктов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астоящего Порядка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б) отсутствие в проекте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Проект административного регламента рассматривается органами, участвующими в согласовании, в части, отнесенной к компетенции такого органа, в срок, не превышающий 5 рабочих дней с даты поступления его на согласование.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Одновременно с началом процедуры согласования в целях проведения независимой антикоррупционной экспертизы проект административного регламента размещается на официальном сайте                          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Администрации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в сети Интернет.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.9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Результатом рассмотрения проекта административного регламента органом, участвующим в согласовании, является принятие таким органом решения о согласовании или несогласовании проекта административного регламента.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При принятии решения о согласовании проекта административного регламента орган, участвующий в согласовании, проставляет отметку о согласовании проекта в листе согласования.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При принятии решения о несогласовании проекта административного регламента орган, участвующий в согласовании, вносит имеющиеся замечания в проект протокола разногласий,  являющийся приложением к листу согласования.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3.10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После рассмотрения проекта административного регламен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та всеми органами, участвующими в согласовании, а также поступления протоколов разногласий (при наличии) и заключений по результатам независимой антикоррупционной экспертизы, орган, предоставляющий муниципальную услугу, рассматривает поступившие замечания.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Решение о возможности учета заключений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по результатам независимой антикоррупционной экспертизы при доработке проекта административного регламента принимается органом, предоставляющим муниципальную услугу, в соответствии с Федеральным законом от 17 июля 2009 г. № 172-ФЗ       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  «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Об антикоррупционной экспертизе нормативных правовых актов и проектов нормативных правовых актов».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случае согласия с замечаниями, представленными органами, участвующими в согласовании, орган, предоставляющий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муниципальную  услугу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в срок, не превышающий 5 рабочих дней, вносит с учетом полученных замечаний изменения в сведения о муниципальной услуге  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направляет указанный проект административного регламента на повторное согласование органам, участвующим в согласовании.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При наличии возражений к замечаниям орган, предоставляющий муниципальную услугу, вправе инициировать процедуру урегулирования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разногласий путем внесения в проект протокола разногласий возражений на замечания органа, участвующего в согласовании (органов, участвующих в согласовании), и направления такого протокола указанному органу (указанным органам).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В случае согласия с возражениями, представленными органом, предоставляющим муниципальную услугу, орган, участвующий в согласовании (органы, участвующие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согласовании), проставляет (проставляют) отметку об урегулировании разногласий в проекте протокола разногласий, подписывает протокол разногласий и согласовывает проект административного регламента, проставляя соответствующую отметку в листе согласования.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случае несогласия с возражениями, представленными органом, предоставляющим муниципаль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ную услугу, орган, участвующий в согласовании (органы, участвующие в согласовании), проставляет (проставляют) в проекте протокола разногласий отметку о повторном отказе в согласовании проекта административного регламента и подписывает протокол разногласий.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Орган, предоставляющий муниципальную услугу, после повторного отказа органа, участвующего в согласован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ии (органов, участвующих в согласовании),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органам, участвующим в согласовании.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Утверждение административного регламента производится посредством его подписания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реестре услуг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(при наличии технической возможности)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 бумажном носителе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после получения положительного заключения экспертизы уполномоченного органа власти либо урегулирования разногласий по результатам экспертизы уполномоченного органа власти.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3.14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Согласованные проекты административных регламентов направляютс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я органами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предоставляющими муниципальные услуги, для регистрации в порядке установленном Инструкцией по делопроизводству Администрации. После регистрации проекта административного регламента,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орган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предоставляющий муниципальные услуги направляет его для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последующего официального опубликования в порядке установленном Уставом Ленинградского муниципального округа.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3.15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При наличии оснований д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ля внесения изменений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ад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министративный регламент либо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признания административного регламента утратившим силу,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орган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предоставляющий муниципальную услугу, разрабатывает и утверждает  соответствующий нормативный правовой акт  в соответствии с действующим законодательством РФ и настоящим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Порядком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3.16. После утверждения админист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ративного регламента, муниципальная услуга подлежит включению в реестр муниципальных услуг, оказываемых отраслевыми) функциональными и территориальными органами Администрации и размещению в Реестре государственных и муниципальных услуг Краснодарского края.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</w:r>
    </w:p>
    <w:p>
      <w:pPr>
        <w:ind w:firstLine="709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:lang w:val="en-US"/>
        </w:rPr>
        <w:t xml:space="preserve">IV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. Особенности проведения независимой экспертизы проектов административных регламентов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44"/>
          <w:szCs w:val="44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Предметом независимой экспертизы проектов административных регламентов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(далее - независимая экспертиза) является оценка возможного положительного эффекта, а также возможных негативных последствий реализации положений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указанных проектов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для граждан и организаций.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Независимая экс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пертиза может проводиться физическими и юридическими лицами (далее - независимые эксперты) в инициативном порядке за счет собственных сре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дств. Независимая экспертиза не может проводи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ться физическими и юридическими лицами, принимавшими участие в разработке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проектов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административных регламентов,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проект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ов изменений в административные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регламент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проект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ов актов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о признании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административных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р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егламентов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утратившим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 силу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а также организациями, находящимися в ведении органа, предоставляющего муниципальную  услугу.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Срок для проведения независимой экспертизы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указанных проектов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не может быть менее пятнадцати дней со дня его размещения на официальном сайте </w:t>
      </w:r>
      <w:hyperlink r:id="rId32" w:tooltip="http://regulation.krasnodar.ru/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adminlenkub.ru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 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 результатам независимой экспертизы независимым экспертом составляется заключение, которое направляется в орган, предоставляющий муницип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альную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 услуг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у. Орган, предоставляющий муниципальную услугу, обязан рассмотреть поступившие заключения независимых экспертов и принять решение по результатам каждой независимой экспертизы в течение 30 (тридцати) дней со дня поступления заключений независимых экспертов.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4.2. В течение трех дней со дня поступления заключения независимой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экспертизы орга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н, предоставляющий муниципальную  услугу, размещает его на официальном сайте </w:t>
      </w:r>
      <w:hyperlink r:id="rId33" w:tooltip="http://regulation.krasnodar.ru/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adminlenkub.ru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 в информационно-телек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оммуникационной сети «Интернет»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4.3. В течение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30 (тридцати)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дней со дня поступления заключения независимой экспертизы орган, предоставляющий муниципальную  услугу: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рассматривает заключение независимой экспертизы, поступившее в соответствии с </w:t>
      </w:r>
      <w:hyperlink r:id="rId34" w:tooltip="https://internet.garant.ru/#/document/405418881/entry/1041" w:anchor="/document/405418881/entry/1041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пунктом 4.1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 настоящего Порядка;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вносит в проект админист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ративного регламента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соответствующие изменения либо готовит мотивированный ответ об отказе в учете замечаний, содержащихся в заключении независимой экспертизы;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уведомляет независимого эксперта, направившего соответствующее заключение, о внесении изменений в проект административного регламента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либо об отказе в учете замечаний, содержащихся в заключении независимого эксперта, с указанием мотивированных причин отказа;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размещает проект административного регламента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с изменениями, внесенными по результатам рассмотрения заключения независимой экспертизы, либо мотивированный ответ об отказе в учете замечаний, содержащихся в заключении независимой экспертизы на официальном сай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те </w:t>
      </w:r>
      <w:hyperlink r:id="rId35" w:tooltip="http://regulation.krasnodar.ru/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adminlenkub.ru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 в информационно-телек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оммуникационной сети «Интернет»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4.4. Непоступление заключений независимой экспертизы в орган, предоставляющий муниципальную  услугу, не является препятствием для проведения экспертизы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уполномоченным органом Администрации.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Заместитель главы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Ленинградского муниципального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округа, начальник финансового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управления администрации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ab/>
        <w:t xml:space="preserve">                                  С.В. Тертица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6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98476361"/>
      <w:docPartObj>
        <w:docPartGallery w:val="Page Numbers (Top of Page)"/>
        <w:docPartUnique w:val="true"/>
      </w:docPartObj>
      <w:rPr/>
    </w:sdtPr>
    <w:sdtContent>
      <w:p>
        <w:pPr>
          <w:pStyle w:val="9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5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7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9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1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3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5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7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9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1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727"/>
    <w:next w:val="727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727"/>
    <w:next w:val="727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727"/>
    <w:next w:val="727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727"/>
    <w:next w:val="727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727"/>
    <w:next w:val="727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27"/>
    <w:next w:val="727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28"/>
    <w:link w:val="749"/>
    <w:uiPriority w:val="10"/>
    <w:rPr>
      <w:sz w:val="48"/>
      <w:szCs w:val="48"/>
    </w:rPr>
  </w:style>
  <w:style w:type="character" w:styleId="700">
    <w:name w:val="Subtitle Char"/>
    <w:basedOn w:val="728"/>
    <w:link w:val="751"/>
    <w:uiPriority w:val="11"/>
    <w:rPr>
      <w:sz w:val="24"/>
      <w:szCs w:val="24"/>
    </w:rPr>
  </w:style>
  <w:style w:type="character" w:styleId="701">
    <w:name w:val="Quote Char"/>
    <w:link w:val="753"/>
    <w:uiPriority w:val="29"/>
    <w:rPr>
      <w:i/>
    </w:rPr>
  </w:style>
  <w:style w:type="character" w:styleId="702">
    <w:name w:val="Intense Quote Char"/>
    <w:link w:val="755"/>
    <w:uiPriority w:val="30"/>
    <w:rPr>
      <w:i/>
    </w:rPr>
  </w:style>
  <w:style w:type="paragraph" w:styleId="703">
    <w:name w:val="Header"/>
    <w:basedOn w:val="727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4">
    <w:name w:val="Footer"/>
    <w:basedOn w:val="727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Caption"/>
    <w:basedOn w:val="727"/>
    <w:next w:val="727"/>
    <w:link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06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0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4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25">
    <w:name w:val="Footnote Text Char"/>
    <w:link w:val="887"/>
    <w:uiPriority w:val="99"/>
    <w:rPr>
      <w:sz w:val="18"/>
    </w:rPr>
  </w:style>
  <w:style w:type="character" w:styleId="726">
    <w:name w:val="Endnote Text Char"/>
    <w:link w:val="890"/>
    <w:uiPriority w:val="99"/>
    <w:rPr>
      <w:sz w:val="20"/>
    </w:rPr>
  </w:style>
  <w:style w:type="paragraph" w:styleId="727" w:default="1">
    <w:name w:val="Normal"/>
    <w:qFormat/>
    <w:pPr>
      <w:ind w:firstLine="720"/>
      <w:jc w:val="both"/>
      <w:spacing w:after="0" w:line="240" w:lineRule="auto"/>
      <w:widowControl w:val="off"/>
    </w:pPr>
    <w:rPr>
      <w:rFonts w:ascii="Arial" w:hAnsi="Arial" w:cs="Arial" w:eastAsiaTheme="minorEastAsia"/>
      <w:sz w:val="24"/>
      <w:szCs w:val="24"/>
      <w:lang w:eastAsia="ru-RU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Heading 1 Char"/>
    <w:basedOn w:val="728"/>
    <w:uiPriority w:val="9"/>
    <w:rPr>
      <w:rFonts w:ascii="Arial" w:hAnsi="Arial" w:eastAsia="Arial" w:cs="Arial"/>
      <w:sz w:val="40"/>
      <w:szCs w:val="40"/>
    </w:rPr>
  </w:style>
  <w:style w:type="character" w:styleId="732" w:customStyle="1">
    <w:name w:val="Heading 2 Char"/>
    <w:basedOn w:val="728"/>
    <w:uiPriority w:val="9"/>
    <w:rPr>
      <w:rFonts w:ascii="Arial" w:hAnsi="Arial" w:eastAsia="Arial" w:cs="Arial"/>
      <w:sz w:val="34"/>
    </w:rPr>
  </w:style>
  <w:style w:type="paragraph" w:styleId="733" w:customStyle="1">
    <w:name w:val="Заголовок 31"/>
    <w:basedOn w:val="727"/>
    <w:next w:val="727"/>
    <w:link w:val="734"/>
    <w:uiPriority w:val="9"/>
    <w:unhideWhenUsed/>
    <w:qFormat/>
    <w:pPr>
      <w:keepLines/>
      <w:keepNext/>
      <w:spacing w:before="320" w:after="200"/>
      <w:outlineLvl w:val="2"/>
    </w:pPr>
    <w:rPr>
      <w:rFonts w:eastAsia="Arial"/>
      <w:sz w:val="30"/>
      <w:szCs w:val="30"/>
    </w:rPr>
  </w:style>
  <w:style w:type="character" w:styleId="734" w:customStyle="1">
    <w:name w:val="Heading 3 Char"/>
    <w:basedOn w:val="728"/>
    <w:link w:val="733"/>
    <w:uiPriority w:val="9"/>
    <w:rPr>
      <w:rFonts w:ascii="Arial" w:hAnsi="Arial" w:eastAsia="Arial" w:cs="Arial"/>
      <w:sz w:val="30"/>
      <w:szCs w:val="30"/>
    </w:rPr>
  </w:style>
  <w:style w:type="paragraph" w:styleId="735" w:customStyle="1">
    <w:name w:val="Заголовок 41"/>
    <w:basedOn w:val="727"/>
    <w:next w:val="727"/>
    <w:link w:val="736"/>
    <w:uiPriority w:val="9"/>
    <w:unhideWhenUsed/>
    <w:qFormat/>
    <w:pPr>
      <w:keepLines/>
      <w:keepNext/>
      <w:spacing w:before="320" w:after="200"/>
      <w:outlineLvl w:val="3"/>
    </w:pPr>
    <w:rPr>
      <w:rFonts w:eastAsia="Arial"/>
      <w:b/>
      <w:bCs/>
      <w:sz w:val="26"/>
      <w:szCs w:val="26"/>
    </w:rPr>
  </w:style>
  <w:style w:type="character" w:styleId="736" w:customStyle="1">
    <w:name w:val="Heading 4 Char"/>
    <w:basedOn w:val="728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 w:customStyle="1">
    <w:name w:val="Заголовок 51"/>
    <w:basedOn w:val="727"/>
    <w:next w:val="727"/>
    <w:link w:val="738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</w:rPr>
  </w:style>
  <w:style w:type="character" w:styleId="738" w:customStyle="1">
    <w:name w:val="Heading 5 Char"/>
    <w:basedOn w:val="728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 w:customStyle="1">
    <w:name w:val="Заголовок 61"/>
    <w:basedOn w:val="727"/>
    <w:next w:val="727"/>
    <w:link w:val="740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character" w:styleId="740" w:customStyle="1">
    <w:name w:val="Heading 6 Char"/>
    <w:basedOn w:val="728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 w:customStyle="1">
    <w:name w:val="Заголовок 71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character" w:styleId="742" w:customStyle="1">
    <w:name w:val="Heading 7 Char"/>
    <w:basedOn w:val="728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 w:customStyle="1">
    <w:name w:val="Заголовок 81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character" w:styleId="744" w:customStyle="1">
    <w:name w:val="Heading 8 Char"/>
    <w:basedOn w:val="728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 w:customStyle="1">
    <w:name w:val="Заголовок 91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746" w:customStyle="1">
    <w:name w:val="Heading 9 Char"/>
    <w:basedOn w:val="728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727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pPr>
      <w:spacing w:after="0" w:line="240" w:lineRule="auto"/>
    </w:pPr>
  </w:style>
  <w:style w:type="paragraph" w:styleId="749">
    <w:name w:val="Title"/>
    <w:basedOn w:val="727"/>
    <w:next w:val="727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 w:customStyle="1">
    <w:name w:val="Заголовок Знак"/>
    <w:basedOn w:val="728"/>
    <w:link w:val="749"/>
    <w:uiPriority w:val="10"/>
    <w:rPr>
      <w:sz w:val="48"/>
      <w:szCs w:val="48"/>
    </w:rPr>
  </w:style>
  <w:style w:type="paragraph" w:styleId="751">
    <w:name w:val="Subtitle"/>
    <w:basedOn w:val="727"/>
    <w:next w:val="727"/>
    <w:link w:val="752"/>
    <w:uiPriority w:val="11"/>
    <w:qFormat/>
    <w:pPr>
      <w:spacing w:before="200" w:after="200"/>
    </w:pPr>
  </w:style>
  <w:style w:type="character" w:styleId="752" w:customStyle="1">
    <w:name w:val="Подзаголовок Знак"/>
    <w:basedOn w:val="728"/>
    <w:link w:val="751"/>
    <w:uiPriority w:val="11"/>
    <w:rPr>
      <w:sz w:val="24"/>
      <w:szCs w:val="24"/>
    </w:rPr>
  </w:style>
  <w:style w:type="paragraph" w:styleId="753">
    <w:name w:val="Quote"/>
    <w:basedOn w:val="727"/>
    <w:next w:val="727"/>
    <w:link w:val="754"/>
    <w:uiPriority w:val="29"/>
    <w:qFormat/>
    <w:pPr>
      <w:ind w:left="720" w:right="720"/>
    </w:pPr>
    <w:rPr>
      <w:i/>
    </w:rPr>
  </w:style>
  <w:style w:type="character" w:styleId="754" w:customStyle="1">
    <w:name w:val="Цитата 2 Знак"/>
    <w:link w:val="753"/>
    <w:uiPriority w:val="29"/>
    <w:rPr>
      <w:i/>
    </w:rPr>
  </w:style>
  <w:style w:type="paragraph" w:styleId="755">
    <w:name w:val="Intense Quote"/>
    <w:basedOn w:val="727"/>
    <w:next w:val="727"/>
    <w:link w:val="75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 w:customStyle="1">
    <w:name w:val="Выделенная цитата Знак"/>
    <w:link w:val="755"/>
    <w:uiPriority w:val="30"/>
    <w:rPr>
      <w:i/>
    </w:rPr>
  </w:style>
  <w:style w:type="character" w:styleId="757" w:customStyle="1">
    <w:name w:val="Header Char"/>
    <w:basedOn w:val="728"/>
    <w:uiPriority w:val="99"/>
  </w:style>
  <w:style w:type="character" w:styleId="758" w:customStyle="1">
    <w:name w:val="Footer Char"/>
    <w:basedOn w:val="728"/>
    <w:uiPriority w:val="99"/>
  </w:style>
  <w:style w:type="paragraph" w:styleId="759" w:customStyle="1">
    <w:name w:val="Название объекта1"/>
    <w:basedOn w:val="727"/>
    <w:next w:val="727"/>
    <w:link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0" w:customStyle="1">
    <w:name w:val="Caption Char"/>
    <w:basedOn w:val="728"/>
    <w:link w:val="759"/>
    <w:uiPriority w:val="35"/>
    <w:rPr>
      <w:b/>
      <w:bCs/>
      <w:color w:val="4f81bd" w:themeColor="accent1"/>
      <w:sz w:val="18"/>
      <w:szCs w:val="18"/>
    </w:rPr>
  </w:style>
  <w:style w:type="table" w:styleId="761">
    <w:name w:val="Table Grid"/>
    <w:basedOn w:val="7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2" w:customStyle="1">
    <w:name w:val="Table Grid Light"/>
    <w:basedOn w:val="72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3" w:customStyle="1">
    <w:name w:val="Таблица простая 11"/>
    <w:basedOn w:val="72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 w:customStyle="1">
    <w:name w:val="Таблица простая 21"/>
    <w:basedOn w:val="72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Таблица простая 3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 w:customStyle="1">
    <w:name w:val="Таблица простая 4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Таблица простая 5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 w:customStyle="1">
    <w:name w:val="Таблица-сетка 1 светл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Таблица-сетка 2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Таблица-сетка 3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Таблица-сетка 41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 w:customStyle="1">
    <w:name w:val="Grid Table 4 - Accent 1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1" w:customStyle="1">
    <w:name w:val="Grid Table 4 - Accent 2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2" w:customStyle="1">
    <w:name w:val="Grid Table 4 - Accent 3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3" w:customStyle="1">
    <w:name w:val="Grid Table 4 - Accent 4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4" w:customStyle="1">
    <w:name w:val="Grid Table 4 - Accent 5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5" w:customStyle="1">
    <w:name w:val="Grid Table 4 - Accent 6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6" w:customStyle="1">
    <w:name w:val="Таблица-сетка 5 тем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3" w:customStyle="1">
    <w:name w:val="Таблица-сетка 6 цвет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4" w:customStyle="1">
    <w:name w:val="Grid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5" w:customStyle="1">
    <w:name w:val="Grid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6" w:customStyle="1">
    <w:name w:val="Grid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7" w:customStyle="1">
    <w:name w:val="Grid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8" w:customStyle="1">
    <w:name w:val="Grid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9" w:customStyle="1">
    <w:name w:val="Grid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0" w:customStyle="1">
    <w:name w:val="Таблица-сетка 7 цвет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Список-таблица 1 светлая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2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3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4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5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6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Список-таблица 2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1" w:customStyle="1">
    <w:name w:val="Список-таблица 3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Список-таблица 4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Список-таблица 5 тем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Список-таблица 6 цвет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3" w:customStyle="1">
    <w:name w:val="List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4" w:customStyle="1">
    <w:name w:val="List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5" w:customStyle="1">
    <w:name w:val="List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6" w:customStyle="1">
    <w:name w:val="List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7" w:customStyle="1">
    <w:name w:val="List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8" w:customStyle="1">
    <w:name w:val="List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9" w:customStyle="1">
    <w:name w:val="Список-таблица 7 цвет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ned - Accent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Lined - Accent 1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Lined - Accent 2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Lined - Accent 3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Lined - Accent 4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Lined - Accent 5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Lined - Accent 6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 &amp; Lined - Accent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Bordered &amp; Lined - Accent 1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Bordered &amp; Lined - Accent 2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Bordered &amp; Lined - Accent 3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Bordered &amp; Lined - Accent 4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Bordered &amp; Lined - Accent 5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Bordered &amp; Lined - Accent 6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1" w:customStyle="1">
    <w:name w:val="Bordered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2" w:customStyle="1">
    <w:name w:val="Bordered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3" w:customStyle="1">
    <w:name w:val="Bordered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4" w:customStyle="1">
    <w:name w:val="Bordered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5" w:customStyle="1">
    <w:name w:val="Bordered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6" w:customStyle="1">
    <w:name w:val="Bordered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87">
    <w:name w:val="footnote text"/>
    <w:basedOn w:val="727"/>
    <w:link w:val="888"/>
    <w:uiPriority w:val="99"/>
    <w:semiHidden/>
    <w:unhideWhenUsed/>
    <w:pPr>
      <w:spacing w:after="40"/>
    </w:pPr>
    <w:rPr>
      <w:sz w:val="18"/>
    </w:rPr>
  </w:style>
  <w:style w:type="character" w:styleId="888" w:customStyle="1">
    <w:name w:val="Текст сноски Знак"/>
    <w:link w:val="887"/>
    <w:uiPriority w:val="99"/>
    <w:rPr>
      <w:sz w:val="18"/>
    </w:rPr>
  </w:style>
  <w:style w:type="character" w:styleId="889">
    <w:name w:val="footnote reference"/>
    <w:basedOn w:val="728"/>
    <w:uiPriority w:val="99"/>
    <w:unhideWhenUsed/>
    <w:rPr>
      <w:vertAlign w:val="superscript"/>
    </w:rPr>
  </w:style>
  <w:style w:type="paragraph" w:styleId="890">
    <w:name w:val="endnote text"/>
    <w:basedOn w:val="727"/>
    <w:link w:val="891"/>
    <w:uiPriority w:val="99"/>
    <w:semiHidden/>
    <w:unhideWhenUsed/>
    <w:rPr>
      <w:sz w:val="20"/>
    </w:rPr>
  </w:style>
  <w:style w:type="character" w:styleId="891" w:customStyle="1">
    <w:name w:val="Текст концевой сноски Знак"/>
    <w:link w:val="890"/>
    <w:uiPriority w:val="99"/>
    <w:rPr>
      <w:sz w:val="20"/>
    </w:rPr>
  </w:style>
  <w:style w:type="character" w:styleId="892">
    <w:name w:val="endnote reference"/>
    <w:basedOn w:val="728"/>
    <w:uiPriority w:val="99"/>
    <w:semiHidden/>
    <w:unhideWhenUsed/>
    <w:rPr>
      <w:vertAlign w:val="superscript"/>
    </w:rPr>
  </w:style>
  <w:style w:type="paragraph" w:styleId="893">
    <w:name w:val="toc 1"/>
    <w:basedOn w:val="727"/>
    <w:next w:val="727"/>
    <w:uiPriority w:val="39"/>
    <w:unhideWhenUsed/>
    <w:pPr>
      <w:ind w:firstLine="0"/>
      <w:spacing w:after="57"/>
    </w:pPr>
  </w:style>
  <w:style w:type="paragraph" w:styleId="894">
    <w:name w:val="toc 2"/>
    <w:basedOn w:val="727"/>
    <w:next w:val="727"/>
    <w:uiPriority w:val="39"/>
    <w:unhideWhenUsed/>
    <w:pPr>
      <w:ind w:left="283" w:firstLine="0"/>
      <w:spacing w:after="57"/>
    </w:pPr>
  </w:style>
  <w:style w:type="paragraph" w:styleId="895">
    <w:name w:val="toc 3"/>
    <w:basedOn w:val="727"/>
    <w:next w:val="727"/>
    <w:uiPriority w:val="39"/>
    <w:unhideWhenUsed/>
    <w:pPr>
      <w:ind w:left="567" w:firstLine="0"/>
      <w:spacing w:after="57"/>
    </w:pPr>
  </w:style>
  <w:style w:type="paragraph" w:styleId="896">
    <w:name w:val="toc 4"/>
    <w:basedOn w:val="727"/>
    <w:next w:val="727"/>
    <w:uiPriority w:val="39"/>
    <w:unhideWhenUsed/>
    <w:pPr>
      <w:ind w:left="850" w:firstLine="0"/>
      <w:spacing w:after="57"/>
    </w:pPr>
  </w:style>
  <w:style w:type="paragraph" w:styleId="897">
    <w:name w:val="toc 5"/>
    <w:basedOn w:val="727"/>
    <w:next w:val="727"/>
    <w:uiPriority w:val="39"/>
    <w:unhideWhenUsed/>
    <w:pPr>
      <w:ind w:left="1134" w:firstLine="0"/>
      <w:spacing w:after="57"/>
    </w:pPr>
  </w:style>
  <w:style w:type="paragraph" w:styleId="898">
    <w:name w:val="toc 6"/>
    <w:basedOn w:val="727"/>
    <w:next w:val="727"/>
    <w:uiPriority w:val="39"/>
    <w:unhideWhenUsed/>
    <w:pPr>
      <w:ind w:left="1417" w:firstLine="0"/>
      <w:spacing w:after="57"/>
    </w:pPr>
  </w:style>
  <w:style w:type="paragraph" w:styleId="899">
    <w:name w:val="toc 7"/>
    <w:basedOn w:val="727"/>
    <w:next w:val="727"/>
    <w:uiPriority w:val="39"/>
    <w:unhideWhenUsed/>
    <w:pPr>
      <w:ind w:left="1701" w:firstLine="0"/>
      <w:spacing w:after="57"/>
    </w:pPr>
  </w:style>
  <w:style w:type="paragraph" w:styleId="900">
    <w:name w:val="toc 8"/>
    <w:basedOn w:val="727"/>
    <w:next w:val="727"/>
    <w:uiPriority w:val="39"/>
    <w:unhideWhenUsed/>
    <w:pPr>
      <w:ind w:left="1984" w:firstLine="0"/>
      <w:spacing w:after="57"/>
    </w:pPr>
  </w:style>
  <w:style w:type="paragraph" w:styleId="901">
    <w:name w:val="toc 9"/>
    <w:basedOn w:val="727"/>
    <w:next w:val="727"/>
    <w:uiPriority w:val="39"/>
    <w:unhideWhenUsed/>
    <w:pPr>
      <w:ind w:left="2268" w:firstLine="0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basedOn w:val="727"/>
    <w:next w:val="727"/>
    <w:uiPriority w:val="99"/>
    <w:unhideWhenUsed/>
  </w:style>
  <w:style w:type="paragraph" w:styleId="904" w:customStyle="1">
    <w:name w:val="Заголовок 11"/>
    <w:basedOn w:val="727"/>
    <w:next w:val="727"/>
    <w:link w:val="906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905" w:customStyle="1">
    <w:name w:val="Заголовок 21"/>
    <w:basedOn w:val="727"/>
    <w:next w:val="727"/>
    <w:link w:val="9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6" w:customStyle="1">
    <w:name w:val="Заголовок 1 Знак"/>
    <w:basedOn w:val="728"/>
    <w:link w:val="904"/>
    <w:uiPriority w:val="99"/>
    <w:rPr>
      <w:rFonts w:ascii="Arial" w:hAnsi="Arial" w:cs="Arial" w:eastAsiaTheme="minorEastAsia"/>
      <w:b/>
      <w:bCs/>
      <w:color w:val="26282f"/>
      <w:sz w:val="24"/>
      <w:szCs w:val="24"/>
      <w:lang w:eastAsia="ru-RU"/>
    </w:rPr>
  </w:style>
  <w:style w:type="character" w:styleId="907" w:customStyle="1">
    <w:name w:val="Гипертекстовая ссылка"/>
    <w:basedOn w:val="728"/>
    <w:uiPriority w:val="99"/>
    <w:rPr>
      <w:rFonts w:cs="Times New Roman"/>
      <w:color w:val="106bbe"/>
    </w:rPr>
  </w:style>
  <w:style w:type="character" w:styleId="908" w:customStyle="1">
    <w:name w:val="Не вступил в силу"/>
    <w:basedOn w:val="728"/>
    <w:uiPriority w:val="99"/>
    <w:rPr>
      <w:rFonts w:cs="Times New Roman"/>
      <w:color w:val="000000"/>
      <w:shd w:val="clear" w:color="auto" w:fill="d8ede8"/>
    </w:rPr>
  </w:style>
  <w:style w:type="character" w:styleId="909">
    <w:name w:val="Hyperlink"/>
    <w:basedOn w:val="728"/>
    <w:uiPriority w:val="99"/>
    <w:unhideWhenUsed/>
    <w:rPr>
      <w:rFonts w:cs="Times New Roman"/>
      <w:color w:val="0000ff" w:themeColor="hyperlink"/>
      <w:u w:val="single"/>
    </w:rPr>
  </w:style>
  <w:style w:type="character" w:styleId="910" w:customStyle="1">
    <w:name w:val="Заголовок 2 Знак"/>
    <w:basedOn w:val="728"/>
    <w:link w:val="90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paragraph" w:styleId="911" w:customStyle="1">
    <w:name w:val="Верхний колонтитул1"/>
    <w:basedOn w:val="727"/>
    <w:link w:val="91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728"/>
    <w:link w:val="911"/>
    <w:uiPriority w:val="99"/>
    <w:rPr>
      <w:rFonts w:ascii="Arial" w:hAnsi="Arial" w:cs="Arial" w:eastAsiaTheme="minorEastAsia"/>
      <w:sz w:val="24"/>
      <w:szCs w:val="24"/>
      <w:lang w:eastAsia="ru-RU"/>
    </w:rPr>
  </w:style>
  <w:style w:type="paragraph" w:styleId="913" w:customStyle="1">
    <w:name w:val="Нижний колонтитул1"/>
    <w:basedOn w:val="727"/>
    <w:link w:val="91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728"/>
    <w:link w:val="913"/>
    <w:uiPriority w:val="99"/>
    <w:rPr>
      <w:rFonts w:ascii="Arial" w:hAnsi="Arial" w:cs="Arial" w:eastAsiaTheme="minorEastAsia"/>
      <w:sz w:val="24"/>
      <w:szCs w:val="24"/>
      <w:lang w:eastAsia="ru-RU"/>
    </w:rPr>
  </w:style>
  <w:style w:type="paragraph" w:styleId="915">
    <w:name w:val="Balloon Text"/>
    <w:basedOn w:val="727"/>
    <w:link w:val="91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16" w:customStyle="1">
    <w:name w:val="Текст выноски Знак"/>
    <w:basedOn w:val="728"/>
    <w:link w:val="915"/>
    <w:uiPriority w:val="99"/>
    <w:semiHidden/>
    <w:rPr>
      <w:rFonts w:ascii="Segoe UI" w:hAnsi="Segoe UI" w:cs="Segoe UI" w:eastAsiaTheme="minorEastAsia"/>
      <w:sz w:val="18"/>
      <w:szCs w:val="18"/>
      <w:lang w:eastAsia="ru-RU"/>
    </w:rPr>
  </w:style>
  <w:style w:type="paragraph" w:styleId="917" w:customStyle="1">
    <w:name w:val="s_3"/>
    <w:basedOn w:val="727"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eastAsia="Times New Roman" w:cs="Times New Roman"/>
    </w:rPr>
  </w:style>
  <w:style w:type="paragraph" w:styleId="918">
    <w:name w:val="Normal (Web)"/>
    <w:basedOn w:val="727"/>
    <w:uiPriority w:val="99"/>
    <w:unhideWhenUsed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eastAsia="Times New Roman" w:cs="Times New Roman"/>
    </w:rPr>
  </w:style>
  <w:style w:type="paragraph" w:styleId="919" w:customStyle="1">
    <w:name w:val="s_1"/>
    <w:basedOn w:val="727"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eastAsia="Times New Roman" w:cs="Times New Roman"/>
    </w:rPr>
  </w:style>
  <w:style w:type="paragraph" w:styleId="920" w:customStyle="1">
    <w:name w:val="Заголовок 11"/>
    <w:uiPriority w:val="99"/>
    <w:qFormat/>
    <w:pPr>
      <w:jc w:val="center"/>
      <w:spacing w:before="108" w:after="108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</w:pPr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paragraph" w:styleId="921" w:customStyle="1">
    <w:name w:val="ConsPlusNormal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  <w:style w:type="character" w:styleId="922" w:customStyle="1">
    <w:name w:val="Гиперссылка1"/>
    <w:rPr>
      <w:color w:val="0563c1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3" Type="http://schemas.openxmlformats.org/officeDocument/2006/relationships/hyperlink" Target="garantF1://12077515.0" TargetMode="External"/><Relationship Id="rId14" Type="http://schemas.openxmlformats.org/officeDocument/2006/relationships/hyperlink" Target="https://www.gosuslugi.ru/" TargetMode="External"/><Relationship Id="rId15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7" Type="http://schemas.openxmlformats.org/officeDocument/2006/relationships/hyperlink" Target="https://www.gosuslugi.ru/" TargetMode="External"/><Relationship Id="rId18" Type="http://schemas.openxmlformats.org/officeDocument/2006/relationships/hyperlink" Target="https://www.gosuslugi.ru/" TargetMode="External"/><Relationship Id="rId19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32" Type="http://schemas.openxmlformats.org/officeDocument/2006/relationships/hyperlink" Target="http://regulation.krasnodar.ru/" TargetMode="External"/><Relationship Id="rId33" Type="http://schemas.openxmlformats.org/officeDocument/2006/relationships/hyperlink" Target="http://regulation.krasnodar.ru/" TargetMode="External"/><Relationship Id="rId34" Type="http://schemas.openxmlformats.org/officeDocument/2006/relationships/hyperlink" Target="https://internet.garant.ru/" TargetMode="External"/><Relationship Id="rId35" Type="http://schemas.openxmlformats.org/officeDocument/2006/relationships/hyperlink" Target="http://regulation.krasnodar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AB304-A44A-4B94-90DB-2CB1FDF44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revision>39</cp:revision>
  <dcterms:created xsi:type="dcterms:W3CDTF">2021-12-23T09:44:00Z</dcterms:created>
  <dcterms:modified xsi:type="dcterms:W3CDTF">2025-10-01T07:21:13Z</dcterms:modified>
</cp:coreProperties>
</file>